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26-165</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600</w:t>
      </w:r>
    </w:p>
    <w:p>
      <w:pPr>
        <w:spacing w:before="0" w:after="0" w:line="480"/>
        <w:ind w:left="120"/>
        <w:jc w:val="center"/>
      </w:pPr>
      <w:r>
        <w:rPr>
          <w:rFonts w:ascii="Times New Roman" w:hAnsi="Times New Roman"/>
          <w:b w:val="false"/>
          <w:i w:val="false"/>
          <w:color w:val="000000"/>
          <w:sz w:val="24"/>
        </w:rPr>
        <w:t>“Statewide Interoperable Communications System Board”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80.28 and 80.29</w:t>
      </w:r>
    </w:p>
    <w:p>
      <w:pPr>
        <w:spacing w:before="0" w:after="0" w:line="480"/>
        <w:ind w:left="120"/>
        <w:jc w:val="both"/>
      </w:pPr>
      <w:r>
        <w:rPr>
          <w:rFonts w:ascii="Times New Roman" w:hAnsi="Times New Roman"/>
          <w:b w:val="false"/>
          <w:i w:val="false"/>
          <w:color w:val="000000"/>
          <w:sz w:val="24"/>
        </w:rPr>
        <w:t>State or federal law(s) implemented by the rulemaking: Iowa Code section 80.29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9 to 9:30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600 and adopt a new chapter in lieu thereof. The chapter provides for board structure and procedures as it relates to the Iowa Statewide Interoperable Communications System Board.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Operational expenses of the Board and reimbursement for expenses incurred by board members while engaged in the performance of official duties are covered by funds appropriated to the Department and the Department of Transportation.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Board members and any person from the public who wish to understand Board structure and procedures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Board members will need to dedicate time to fulfill their duties as outlined in the Iowa Code.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Iowa Statewide Interoperable Communications System (ISICS) and users benefit from Board decisions that support the overall health of the system.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Operational expenses and reimbursement for expenses incurred by Board members while engaged in the performance of official duties are covered by funds appropriated to the Department and the Department of Transportation.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funds appropriated to the Department and the Department of Transportation to support board operational expenses allow for the Board members to carry out their duties as obligated by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600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600</w:t>
      </w:r>
    </w:p>
    <w:p>
      <w:pPr>
        <w:spacing w:before="0" w:after="0" w:line="480"/>
        <w:ind w:left="120"/>
        <w:jc w:val="center"/>
      </w:pPr>
      <w:r>
        <w:rPr>
          <w:rFonts w:ascii="Times New Roman" w:hAnsi="Times New Roman"/>
          <w:b w:val="false"/>
          <w:i w:val="false"/>
          <w:color w:val="000000"/>
          <w:sz w:val="21"/>
        </w:rPr>
        <w:t>STATEWIDE INTEROPERABLE COMMUNICATIONS SYSTEM BOARD</w:t>
      </w:r>
    </w:p>
    <w:p>
      <w:pPr>
        <w:spacing w:before="210" w:after="0" w:line="480"/>
        <w:ind w:left="120"/>
        <w:jc w:val="both"/>
      </w:pPr>
      <w:r>
        <w:rPr>
          <w:rFonts w:ascii="Times New Roman" w:hAnsi="Times New Roman"/>
          <w:b/>
          <w:i w:val="false"/>
          <w:color w:val="000000"/>
          <w:sz w:val="24"/>
        </w:rPr>
        <w:t>661—600.1</w:t>
      </w:r>
      <w:r>
        <w:rPr>
          <w:rFonts w:ascii="Times New Roman" w:hAnsi="Times New Roman"/>
          <w:b/>
          <w:i w:val="false"/>
          <w:color w:val="000000"/>
          <w:sz w:val="24"/>
        </w:rPr>
        <w:t xml:space="preserve">(80) </w:t>
      </w:r>
      <w:r>
        <w:rPr>
          <w:rFonts w:ascii="Times New Roman" w:hAnsi="Times New Roman"/>
          <w:b/>
          <w:i w:val="false"/>
          <w:color w:val="000000"/>
          <w:sz w:val="24"/>
        </w:rPr>
        <w:t xml:space="preserve">Establishment of board. </w:t>
      </w:r>
      <w:r>
        <w:rPr>
          <w:rFonts w:ascii="Times New Roman" w:hAnsi="Times New Roman"/>
          <w:b w:val="false"/>
          <w:i w:val="false"/>
          <w:color w:val="000000"/>
          <w:sz w:val="24"/>
        </w:rPr>
        <w:t xml:space="preserve">The Iowa statewide interoperable communications system board is established in Iowa Code section </w:t>
      </w:r>
      <w:hyperlink r:id="rId5">
        <w:r>
          <w:rPr>
            <w:rStyle w:val="Hyperlink"/>
            <w:rFonts w:ascii="Times New Roman" w:hAnsi="Times New Roman"/>
            <w:b w:val="false"/>
            <w:i w:val="false"/>
            <w:color w:val="000000"/>
            <w:sz w:val="24"/>
          </w:rPr>
          <w:t>80.28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661—600.2</w:t>
      </w:r>
      <w:r>
        <w:rPr>
          <w:rFonts w:ascii="Times New Roman" w:hAnsi="Times New Roman"/>
          <w:b/>
          <w:i w:val="false"/>
          <w:color w:val="000000"/>
          <w:sz w:val="24"/>
        </w:rPr>
        <w:t xml:space="preserve">(80)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the rules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“Board”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statewide interoperable communications system board established in Iowa Code section </w:t>
      </w:r>
      <w:hyperlink r:id="rId6">
        <w:r>
          <w:rPr>
            <w:rStyle w:val="Hyperlink"/>
            <w:rFonts w:ascii="Times New Roman" w:hAnsi="Times New Roman"/>
            <w:b w:val="false"/>
            <w:i w:val="false"/>
            <w:color w:val="000000"/>
            <w:sz w:val="24"/>
          </w:rPr>
          <w:t>80.28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“Interoperability”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80.28(1)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“Legal counsel to the board”</w:t>
      </w:r>
      <w:r>
        <w:rPr>
          <w:rFonts w:ascii="Times New Roman" w:hAnsi="Times New Roman"/>
          <w:b w:val="false"/>
          <w:i/>
          <w:color w:val="000000"/>
          <w:sz w:val="24"/>
          <w:u w:val="single"/>
        </w:rPr>
        <w:t> </w:t>
      </w:r>
      <w:r>
        <w:rPr>
          <w:rFonts w:ascii="Times New Roman" w:hAnsi="Times New Roman"/>
          <w:b w:val="false"/>
          <w:i w:val="false"/>
          <w:color w:val="000000"/>
          <w:sz w:val="24"/>
        </w:rPr>
        <w:t>means the assistant attorney general assigned to provide legal advice and representation to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“Quorum”</w:t>
      </w:r>
      <w:r>
        <w:rPr>
          <w:rFonts w:ascii="Times New Roman" w:hAnsi="Times New Roman"/>
          <w:b w:val="false"/>
          <w:i/>
          <w:color w:val="000000"/>
          <w:sz w:val="24"/>
          <w:u w:val="single"/>
        </w:rPr>
        <w:t> </w:t>
      </w:r>
      <w:r>
        <w:rPr>
          <w:rFonts w:ascii="Times New Roman" w:hAnsi="Times New Roman"/>
          <w:b w:val="false"/>
          <w:i w:val="false"/>
          <w:color w:val="000000"/>
          <w:sz w:val="24"/>
        </w:rPr>
        <w:t>means two-thirds or more of the current voting members of the board.</w:t>
      </w:r>
    </w:p>
    <w:p>
      <w:pPr>
        <w:spacing w:before="210" w:after="0" w:line="480"/>
        <w:ind w:left="120"/>
        <w:jc w:val="both"/>
      </w:pPr>
      <w:r>
        <w:rPr>
          <w:rFonts w:ascii="Times New Roman" w:hAnsi="Times New Roman"/>
          <w:b/>
          <w:i w:val="false"/>
          <w:color w:val="000000"/>
          <w:sz w:val="24"/>
        </w:rPr>
        <w:t>661—600.3</w:t>
      </w:r>
      <w:r>
        <w:rPr>
          <w:rFonts w:ascii="Times New Roman" w:hAnsi="Times New Roman"/>
          <w:b/>
          <w:i w:val="false"/>
          <w:color w:val="000000"/>
          <w:sz w:val="24"/>
        </w:rPr>
        <w:t xml:space="preserve">(80) </w:t>
      </w:r>
      <w:r>
        <w:rPr>
          <w:rFonts w:ascii="Times New Roman" w:hAnsi="Times New Roman"/>
          <w:b/>
          <w:i w:val="false"/>
          <w:color w:val="000000"/>
          <w:sz w:val="24"/>
        </w:rPr>
        <w:t xml:space="preserve">Statewide interoperability coordinator. </w:t>
      </w:r>
      <w:r>
        <w:rPr>
          <w:rFonts w:ascii="Times New Roman" w:hAnsi="Times New Roman"/>
          <w:b w:val="false"/>
          <w:i w:val="false"/>
          <w:color w:val="000000"/>
          <w:sz w:val="24"/>
        </w:rPr>
        <w:t>The board may select and appoint a person who is not a member of the board as the statewide interoperability coordinator to coordinate work performed on behalf of the board and to complete tasks related to the mission of the board as assigned by the board or by the chairperson of the board with board approval.</w:t>
      </w:r>
    </w:p>
    <w:p>
      <w:pPr>
        <w:spacing w:before="0" w:after="0" w:line="480"/>
        <w:ind w:left="120"/>
        <w:jc w:val="both"/>
      </w:pPr>
      <w:r>
        <w:rPr>
          <w:rFonts w:ascii="Times New Roman" w:hAnsi="Times New Roman"/>
          <w:b/>
          <w:i w:val="false"/>
          <w:color w:val="000000"/>
          <w:sz w:val="24"/>
        </w:rPr>
        <w:t>661—600.4</w:t>
      </w:r>
      <w:r>
        <w:rPr>
          <w:rFonts w:ascii="Times New Roman" w:hAnsi="Times New Roman"/>
          <w:b/>
          <w:i w:val="false"/>
          <w:color w:val="000000"/>
          <w:sz w:val="24"/>
        </w:rPr>
        <w:t xml:space="preserve">(80) </w:t>
      </w:r>
      <w:r>
        <w:rPr>
          <w:rFonts w:ascii="Times New Roman" w:hAnsi="Times New Roman"/>
          <w:b/>
          <w:i w:val="false"/>
          <w:color w:val="000000"/>
          <w:sz w:val="24"/>
        </w:rPr>
        <w:t xml:space="preserve">Board procedures. </w:t>
      </w:r>
      <w:r>
        <w:rPr>
          <w:rFonts w:ascii="Times New Roman" w:hAnsi="Times New Roman"/>
          <w:b w:val="false"/>
          <w:i w:val="false"/>
          <w:color w:val="000000"/>
          <w:sz w:val="24"/>
        </w:rPr>
        <w:t>The board shall operate under the following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600.4(1)</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 xml:space="preserve">The board shall include seven voting members and four ex officio, nonvoting members who are members of the Iowa general assembly, as provided in Iowa Code section </w:t>
      </w:r>
      <w:hyperlink r:id="rId8">
        <w:r>
          <w:rPr>
            <w:rStyle w:val="Hyperlink"/>
            <w:rFonts w:ascii="Times New Roman" w:hAnsi="Times New Roman"/>
            <w:b w:val="false"/>
            <w:i w:val="false"/>
            <w:color w:val="000000"/>
            <w:sz w:val="24"/>
          </w:rPr>
          <w:t>80.28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600.4(2)</w:t>
      </w:r>
      <w:r>
        <w:rPr>
          <w:rFonts w:ascii="Times New Roman" w:hAnsi="Times New Roman"/>
          <w:b w:val="false"/>
          <w:i w:val="false"/>
          <w:color w:val="000000"/>
          <w:sz w:val="24"/>
        </w:rPr>
        <w:t> </w:t>
      </w:r>
      <w:r>
        <w:rPr>
          <w:rFonts w:ascii="Times New Roman" w:hAnsi="Times New Roman"/>
          <w:b w:val="false"/>
          <w:i/>
          <w:color w:val="000000"/>
          <w:sz w:val="24"/>
        </w:rPr>
        <w:t xml:space="preserve">Meetings.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board shall meet at least once a quarter at a time and place determined by the board. Additional meetings may be called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vice chairperson,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statewide interoperability coordinator, at the request of three or more voting members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quorum is not present at a scheduled meeting of the board, the members of the board who are present may convene, may take testimony and public comment, and may engage in discussion of board business, but shall not take any action other than to adjourn.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Notice of all meetings of the board shall be given in accordance with the provisions of Iowa Code section </w:t>
      </w:r>
      <w:hyperlink r:id="rId9">
        <w:r>
          <w:rPr>
            <w:rStyle w:val="Hyperlink"/>
            <w:rFonts w:ascii="Times New Roman" w:hAnsi="Times New Roman"/>
            <w:b w:val="false"/>
            <w:i w:val="false"/>
            <w:color w:val="000000"/>
            <w:sz w:val="24"/>
          </w:rPr>
          <w:t>21.4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meetings of the board are public meetings and shall be conducted in accordance with Iowa Code section </w:t>
      </w:r>
      <w:hyperlink r:id="rId10">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portion of any board meeting may be closed to the public for any of the reasons enumerated in Iowa Code section </w:t>
      </w:r>
      <w:hyperlink r:id="rId11">
        <w:r>
          <w:rPr>
            <w:rStyle w:val="Hyperlink"/>
            <w:rFonts w:ascii="Times New Roman" w:hAnsi="Times New Roman"/>
            <w:b w:val="false"/>
            <w:i w:val="false"/>
            <w:color w:val="000000"/>
            <w:sz w:val="24"/>
          </w:rPr>
          <w:t>21.5</w:t>
        </w:r>
      </w:hyperlink>
      <w:r>
        <w:rPr>
          <w:rFonts w:ascii="Times New Roman" w:hAnsi="Times New Roman"/>
          <w:b w:val="false"/>
          <w:i w:val="false"/>
          <w:color w:val="000000"/>
          <w:sz w:val="24"/>
        </w:rPr>
        <w:t xml:space="preserve"> and only subsequent to the procedures specified in Iowa Code section </w:t>
      </w:r>
      <w:hyperlink r:id="rId12">
        <w:r>
          <w:rPr>
            <w:rStyle w:val="Hyperlink"/>
            <w:rFonts w:ascii="Times New Roman" w:hAnsi="Times New Roman"/>
            <w:b w:val="false"/>
            <w:i w:val="false"/>
            <w:color w:val="000000"/>
            <w:sz w:val="24"/>
          </w:rPr>
          <w:t>21.5</w:t>
        </w:r>
      </w:hyperlink>
      <w:r>
        <w:rPr>
          <w:rFonts w:ascii="Times New Roman" w:hAnsi="Times New Roman"/>
          <w:b w:val="false"/>
          <w:i w:val="false"/>
          <w:color w:val="000000"/>
          <w:sz w:val="24"/>
        </w:rPr>
        <w:t xml:space="preserve"> to be followed by a public body in order to close a meeting to the public. If a board meeting has been closed to the public, the board shall not adjourn while in closed session, and may do so only after the meeting has been reopened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chairperson or vice chairperson may extend invitations to subject matter experts or other parties to address items on the agenda of the board at meetings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Members of the public shall be afforded an opportunity to address the board at each regular meeting during a period labeled “public comment period” on the agenda, subject to reasonable time limits established by the person presiding at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Remote telephonic access to a meeting of the board may be provided at the request of a board member or a member of the public consistent with Iowa Code chapter </w:t>
      </w:r>
      <w:hyperlink r:id="rId13">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Meetings of the board shall be conducted in accordance with Roberts Rules of Order, 12th edition.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600.4(3)</w:t>
      </w:r>
      <w:r>
        <w:rPr>
          <w:rFonts w:ascii="Times New Roman" w:hAnsi="Times New Roman"/>
          <w:b w:val="false"/>
          <w:i w:val="false"/>
          <w:color w:val="000000"/>
          <w:sz w:val="24"/>
        </w:rPr>
        <w:t> </w:t>
      </w:r>
      <w:r>
        <w:rPr>
          <w:rFonts w:ascii="Times New Roman" w:hAnsi="Times New Roman"/>
          <w:b w:val="false"/>
          <w:i/>
          <w:color w:val="000000"/>
          <w:sz w:val="24"/>
        </w:rPr>
        <w:t xml:space="preserve">Officers. </w:t>
      </w:r>
      <w:r>
        <w:rPr>
          <w:rFonts w:ascii="Times New Roman" w:hAnsi="Times New Roman"/>
          <w:b w:val="false"/>
          <w:i w:val="false"/>
          <w:color w:val="000000"/>
          <w:sz w:val="24"/>
        </w:rPr>
        <w:t>Officers of the board shall be a chairperson and a vice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Election of the chairperson and the vice chairperson shall take place at a regular meeting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chairperson and the vice chairperson shall each be elected for a two-year term, commencing at the conclusion of the meeting at which the election takes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chairperson and the vice chairperson shall each be a voting member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chairperson or the vice chairperson ceases to be a voting member of the board, or if the chairperson or the vice chairperson resigns from the position, the position shall become vacant. If the position of the chairperson becomes vacant, the vice chairperson shall become chairperson and shall serve the remainder of the two-year term to which the chairperson had been elected, and the position of vice chairperson shall become vacant. If the position of vice chairperson has become vacant, an election to fill the remainder of the two-year term shall be conducted at the next regular meeting of the board following the occurrence of the vacancy.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Election to the position of chairperson or vice chairperson shall require a majority of the voting members of the board who are present and voting at a meeting at which a quorum of the board is in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board fails to elect a chairperson or a vice chairperson at the board meeting when a term of office ends, the incumbent chairperson or vice chairperson shall continue to serve until a successor is elected.</w:t>
      </w:r>
    </w:p>
    <w:p>
      <w:pPr>
        <w:spacing w:before="0" w:after="0" w:line="480"/>
        <w:ind w:left="120"/>
        <w:jc w:val="both"/>
      </w:pPr>
      <w:r>
        <w:rPr>
          <w:rFonts w:ascii="Times New Roman" w:hAnsi="Times New Roman"/>
          <w:b/>
          <w:i w:val="false"/>
          <w:color w:val="000000"/>
          <w:sz w:val="24"/>
        </w:rPr>
        <w:t>661—600.5</w:t>
      </w:r>
      <w:r>
        <w:rPr>
          <w:rFonts w:ascii="Times New Roman" w:hAnsi="Times New Roman"/>
          <w:b/>
          <w:i w:val="false"/>
          <w:color w:val="000000"/>
          <w:sz w:val="24"/>
        </w:rPr>
        <w:t xml:space="preserve">(80) </w:t>
      </w:r>
      <w:r>
        <w:rPr>
          <w:rFonts w:ascii="Times New Roman" w:hAnsi="Times New Roman"/>
          <w:b/>
          <w:i w:val="false"/>
          <w:color w:val="000000"/>
          <w:sz w:val="24"/>
        </w:rPr>
        <w:t xml:space="preserve">Committees.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600.5(1)</w:t>
      </w:r>
      <w:r>
        <w:rPr>
          <w:rFonts w:ascii="Times New Roman" w:hAnsi="Times New Roman"/>
          <w:b w:val="false"/>
          <w:i w:val="false"/>
          <w:color w:val="000000"/>
          <w:sz w:val="24"/>
        </w:rPr>
        <w:t> </w:t>
      </w:r>
      <w:r>
        <w:rPr>
          <w:rFonts w:ascii="Times New Roman" w:hAnsi="Times New Roman"/>
          <w:b w:val="false"/>
          <w:i/>
          <w:color w:val="000000"/>
          <w:sz w:val="24"/>
        </w:rPr>
        <w:t xml:space="preserve">Standing committees. </w:t>
      </w:r>
      <w:r>
        <w:rPr>
          <w:rFonts w:ascii="Times New Roman" w:hAnsi="Times New Roman"/>
          <w:b w:val="false"/>
          <w:i w:val="false"/>
          <w:color w:val="000000"/>
          <w:sz w:val="24"/>
        </w:rPr>
        <w:t>A standing committee may be created or disbanded by majority vote of the voting members of the board present at any board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chairperson of each standing committee shall be a voting member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Persons who are not voting members of the board may serve on a standing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chairperson of the board, with approval of the board, shall appoint members of the standing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600.5(2)</w:t>
      </w:r>
      <w:r>
        <w:rPr>
          <w:rFonts w:ascii="Times New Roman" w:hAnsi="Times New Roman"/>
          <w:b w:val="false"/>
          <w:i w:val="false"/>
          <w:color w:val="000000"/>
          <w:sz w:val="24"/>
        </w:rPr>
        <w:t> </w:t>
      </w:r>
      <w:r>
        <w:rPr>
          <w:rFonts w:ascii="Times New Roman" w:hAnsi="Times New Roman"/>
          <w:b w:val="false"/>
          <w:i/>
          <w:color w:val="000000"/>
          <w:sz w:val="24"/>
        </w:rPr>
        <w:t xml:space="preserve">Ad hoc committees. </w:t>
      </w:r>
      <w:r>
        <w:rPr>
          <w:rFonts w:ascii="Times New Roman" w:hAnsi="Times New Roman"/>
          <w:b w:val="false"/>
          <w:i w:val="false"/>
          <w:color w:val="000000"/>
          <w:sz w:val="24"/>
        </w:rPr>
        <w:t>The chairperson may establish ad hoc committees for specific purposes and terms and may appoint persons to those committees in an advisory capacity based upon their expertise in the subject matter.</w:t>
      </w:r>
    </w:p>
    <w:p>
      <w:pPr>
        <w:spacing w:before="210" w:after="0" w:line="480"/>
        <w:ind w:left="120"/>
        <w:jc w:val="both"/>
      </w:pPr>
      <w:r>
        <w:rPr>
          <w:rFonts w:ascii="Times New Roman" w:hAnsi="Times New Roman"/>
          <w:b/>
          <w:i w:val="false"/>
          <w:color w:val="000000"/>
          <w:sz w:val="24"/>
        </w:rPr>
        <w:t>661—600.6</w:t>
      </w:r>
      <w:r>
        <w:rPr>
          <w:rFonts w:ascii="Times New Roman" w:hAnsi="Times New Roman"/>
          <w:b/>
          <w:i w:val="false"/>
          <w:color w:val="000000"/>
          <w:sz w:val="24"/>
        </w:rPr>
        <w:t xml:space="preserve">(80) </w:t>
      </w:r>
      <w:r>
        <w:rPr>
          <w:rFonts w:ascii="Times New Roman" w:hAnsi="Times New Roman"/>
          <w:b/>
          <w:i w:val="false"/>
          <w:color w:val="000000"/>
          <w:sz w:val="24"/>
        </w:rPr>
        <w:t xml:space="preserve">Board finances. </w:t>
      </w:r>
      <w:r>
        <w:rPr>
          <w:rFonts w:ascii="Times New Roman" w:hAnsi="Times New Roman"/>
          <w:b w:val="false"/>
          <w:i w:val="false"/>
          <w:color w:val="000000"/>
          <w:sz w:val="24"/>
        </w:rPr>
        <w:t>Operational expenses of the board and of the statewide interoperability coordinator shall be paid from funds available to the department of public safety or the department of transportation, pursuant to an agreement between those agencies, except that expenses related to participation on the board by employees of state agencies shall be borne by their respective agencies.</w:t>
      </w:r>
    </w:p>
    <w:p>
      <w:pPr>
        <w:spacing w:before="210" w:after="0" w:line="480"/>
        <w:ind w:left="120"/>
        <w:jc w:val="both"/>
      </w:pPr>
      <w:r>
        <w:rPr>
          <w:rFonts w:ascii="Times New Roman" w:hAnsi="Times New Roman"/>
          <w:b/>
          <w:i w:val="false"/>
          <w:color w:val="000000"/>
          <w:sz w:val="24"/>
        </w:rPr>
        <w:t>661—600.7</w:t>
      </w:r>
      <w:r>
        <w:rPr>
          <w:rFonts w:ascii="Times New Roman" w:hAnsi="Times New Roman"/>
          <w:b/>
          <w:i w:val="false"/>
          <w:color w:val="000000"/>
          <w:sz w:val="24"/>
        </w:rPr>
        <w:t xml:space="preserve">(80) </w:t>
      </w:r>
      <w:r>
        <w:rPr>
          <w:rFonts w:ascii="Times New Roman" w:hAnsi="Times New Roman"/>
          <w:b/>
          <w:i w:val="false"/>
          <w:color w:val="000000"/>
          <w:sz w:val="24"/>
        </w:rPr>
        <w:t xml:space="preserve">Contracts. </w:t>
      </w:r>
      <w:r>
        <w:rPr>
          <w:rFonts w:ascii="Times New Roman" w:hAnsi="Times New Roman"/>
          <w:b w:val="false"/>
          <w:i w:val="false"/>
          <w:color w:val="000000"/>
          <w:sz w:val="24"/>
        </w:rPr>
        <w:t>The board may enter into contracts with other entities to carry out tasks in pursuit of the board’s purpose. Any such contract shall be entered into subject to approval of the legal counsel to the board and shall comply with the rules of the department of administrative services and any other applicable state laws regarding purchases by state agencies.</w:t>
      </w:r>
    </w:p>
    <w:p>
      <w:pPr>
        <w:spacing w:before="210" w:after="0" w:line="480"/>
        <w:ind w:left="120"/>
        <w:jc w:val="both"/>
      </w:pPr>
      <w:r>
        <w:rPr>
          <w:rFonts w:ascii="Times New Roman" w:hAnsi="Times New Roman"/>
          <w:b/>
          <w:i w:val="false"/>
          <w:color w:val="000000"/>
          <w:sz w:val="24"/>
        </w:rPr>
        <w:t>661—600.8</w:t>
      </w:r>
      <w:r>
        <w:rPr>
          <w:rFonts w:ascii="Times New Roman" w:hAnsi="Times New Roman"/>
          <w:b/>
          <w:i w:val="false"/>
          <w:color w:val="000000"/>
          <w:sz w:val="24"/>
        </w:rPr>
        <w:t xml:space="preserve">(80) </w:t>
      </w:r>
      <w:r>
        <w:rPr>
          <w:rFonts w:ascii="Times New Roman" w:hAnsi="Times New Roman"/>
          <w:b/>
          <w:i w:val="false"/>
          <w:color w:val="000000"/>
          <w:sz w:val="24"/>
        </w:rPr>
        <w:t xml:space="preserve">Competitive grants. </w:t>
      </w:r>
      <w:r>
        <w:rPr>
          <w:rFonts w:ascii="Times New Roman" w:hAnsi="Times New Roman"/>
          <w:b w:val="false"/>
          <w:i w:val="false"/>
          <w:color w:val="000000"/>
          <w:sz w:val="24"/>
        </w:rPr>
        <w:t>If funds are available to the board to award grants on a competitive basis for projects to further the purposes of the board, the chairperson shall appoint an advisory committee to review grant applications. The chairperson of the advisory committee shall be a voting member of the board, although other members may be members of the board or other persons with expertise helpful in evaluating grant applications. The statewide interoperability coordinator shall, prior to the solicitation of applications for the grant funds and with the approval of the board, develop a grant application form and an evaluation methodology that shall be understandable and made available to any prospective applicant. The availability of grant funds shall be made known as widely as practicable prior to the deadline for accepting applications.</w:t>
      </w:r>
    </w:p>
    <w:p>
      <w:pPr>
        <w:spacing w:before="210" w:after="0" w:line="480"/>
        <w:ind w:left="120"/>
        <w:jc w:val="both"/>
      </w:pPr>
      <w:r>
        <w:rPr>
          <w:rFonts w:ascii="Times New Roman" w:hAnsi="Times New Roman"/>
          <w:b/>
          <w:i w:val="false"/>
          <w:color w:val="000000"/>
          <w:sz w:val="24"/>
        </w:rPr>
        <w:t>661—600.9</w:t>
      </w:r>
      <w:r>
        <w:rPr>
          <w:rFonts w:ascii="Times New Roman" w:hAnsi="Times New Roman"/>
          <w:b/>
          <w:i w:val="false"/>
          <w:color w:val="000000"/>
          <w:sz w:val="24"/>
        </w:rPr>
        <w:t xml:space="preserve">(80) </w:t>
      </w:r>
      <w:r>
        <w:rPr>
          <w:rFonts w:ascii="Times New Roman" w:hAnsi="Times New Roman"/>
          <w:b/>
          <w:i w:val="false"/>
          <w:color w:val="000000"/>
          <w:sz w:val="24"/>
        </w:rPr>
        <w:t xml:space="preserve">Additional information. </w:t>
      </w:r>
      <w:r>
        <w:rPr>
          <w:rFonts w:ascii="Times New Roman" w:hAnsi="Times New Roman"/>
          <w:b w:val="false"/>
          <w:i w:val="false"/>
          <w:color w:val="000000"/>
          <w:sz w:val="24"/>
        </w:rPr>
        <w:t xml:space="preserve">Additional descriptive and explanatory information about the board and its procedures and about interoperability issues may be found on the website of the board at </w:t>
      </w:r>
      <w:hyperlink r:id="rId14">
        <w:r>
          <w:rPr>
            <w:rStyle w:val="Hyperlink"/>
            <w:rFonts w:ascii="Times New Roman" w:hAnsi="Times New Roman"/>
            <w:b w:val="false"/>
            <w:i w:val="false"/>
            <w:color w:val="000000"/>
            <w:sz w:val="24"/>
            <w:u w:val="single"/>
          </w:rPr>
          <w:t>isicsb.iowa.gov/index.html</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5">
        <w:r>
          <w:rPr>
            <w:rStyle w:val="Hyperlink"/>
            <w:rFonts w:ascii="Times New Roman" w:hAnsi="Times New Roman"/>
            <w:b w:val="false"/>
            <w:i w:val="false"/>
            <w:color w:val="000000"/>
            <w:sz w:val="24"/>
          </w:rPr>
          <w:t>80.29</w:t>
        </w:r>
      </w:hyperlink>
      <w:r>
        <w:rPr>
          <w:rFonts w:ascii="Times New Roman" w:hAnsi="Times New Roman"/>
          <w:b w:val="false"/>
          <w:i w:val="false"/>
          <w:color w:val="000000"/>
          <w:sz w:val="24"/>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80.28.pdf" Type="http://schemas.openxmlformats.org/officeDocument/2006/relationships/hyperlink" Id="rId5"/>
    <Relationship TargetMode="External" Target="https://www.legis.iowa.gov/docs/ico/chapter/80.28.pdf" Type="http://schemas.openxmlformats.org/officeDocument/2006/relationships/hyperlink" Id="rId6"/>
    <Relationship TargetMode="External" Target="https://www.legis.iowa.gov/docs/ico/chapter/80.28.pdf" Type="http://schemas.openxmlformats.org/officeDocument/2006/relationships/hyperlink" Id="rId7"/>
    <Relationship TargetMode="External" Target="https://www.legis.iowa.gov/docs/ico/chapter/80.28.pdf" Type="http://schemas.openxmlformats.org/officeDocument/2006/relationships/hyperlink" Id="rId8"/>
    <Relationship TargetMode="External" Target="https://www.legis.iowa.gov/docs/ico/chapter/21.4.pdf" Type="http://schemas.openxmlformats.org/officeDocument/2006/relationships/hyperlink" Id="rId9"/>
    <Relationship TargetMode="External" Target="https://www.legis.iowa.gov/docs/ico/chapter/21.3.pdf" Type="http://schemas.openxmlformats.org/officeDocument/2006/relationships/hyperlink" Id="rId10"/>
    <Relationship TargetMode="External" Target="https://www.legis.iowa.gov/docs/ico/chapter/21.5.pdf" Type="http://schemas.openxmlformats.org/officeDocument/2006/relationships/hyperlink" Id="rId11"/>
    <Relationship TargetMode="External" Target="https://www.legis.iowa.gov/docs/ico/chapter/21.5.pdf" Type="http://schemas.openxmlformats.org/officeDocument/2006/relationships/hyperlink" Id="rId12"/>
    <Relationship TargetMode="External" Target="https://www.legis.iowa.gov/docs/ico/chapter/21.pdf" Type="http://schemas.openxmlformats.org/officeDocument/2006/relationships/hyperlink" Id="rId13"/>
    <Relationship TargetMode="External" Target="http://isicsb.iowa.gov/index.html" Type="http://schemas.openxmlformats.org/officeDocument/2006/relationships/hyperlink" Id="rId14"/>
    <Relationship TargetMode="External" Target="https://www.legis.iowa.gov/docs/ico/chapter/80.29.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